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tabs>
          <w:tab w:val="left" w:pos="540"/>
        </w:tabs>
        <w:kinsoku/>
        <w:wordWrap w:val="0"/>
        <w:overflowPunct/>
        <w:topLinePunct w:val="0"/>
        <w:autoSpaceDE/>
        <w:autoSpaceDN/>
        <w:bidi w:val="0"/>
        <w:adjustRightInd/>
        <w:snapToGrid/>
        <w:spacing w:line="640" w:lineRule="exact"/>
        <w:jc w:val="center"/>
        <w:textAlignment w:val="auto"/>
        <w:outlineLvl w:val="9"/>
        <w:rPr>
          <w:rFonts w:hint="eastAsia" w:ascii="方正小标宋简体" w:hAnsi="仿宋" w:eastAsia="方正小标宋简体" w:cs="仿宋"/>
          <w:color w:val="auto"/>
          <w:kern w:val="0"/>
          <w:sz w:val="44"/>
          <w:szCs w:val="44"/>
        </w:rPr>
      </w:pPr>
      <w:r>
        <w:rPr>
          <w:rFonts w:hint="eastAsia" w:ascii="方正小标宋简体" w:hAnsi="仿宋" w:eastAsia="方正小标宋简体" w:cs="仿宋"/>
          <w:color w:val="auto"/>
          <w:kern w:val="0"/>
          <w:sz w:val="44"/>
          <w:szCs w:val="44"/>
        </w:rPr>
        <w:t>云南省中长期青年发展规划</w:t>
      </w:r>
    </w:p>
    <w:p>
      <w:pPr>
        <w:keepNext w:val="0"/>
        <w:keepLines w:val="0"/>
        <w:pageBreakBefore w:val="0"/>
        <w:widowControl/>
        <w:tabs>
          <w:tab w:val="left" w:pos="540"/>
        </w:tabs>
        <w:kinsoku/>
        <w:wordWrap w:val="0"/>
        <w:overflowPunct/>
        <w:topLinePunct w:val="0"/>
        <w:autoSpaceDE/>
        <w:autoSpaceDN/>
        <w:bidi w:val="0"/>
        <w:adjustRightInd/>
        <w:snapToGrid/>
        <w:spacing w:line="640" w:lineRule="exact"/>
        <w:jc w:val="center"/>
        <w:textAlignment w:val="auto"/>
        <w:outlineLvl w:val="9"/>
        <w:rPr>
          <w:rFonts w:hint="eastAsia" w:ascii="方正小标宋简体" w:hAnsi="仿宋" w:eastAsia="方正小标宋简体" w:cs="仿宋"/>
          <w:color w:val="auto"/>
          <w:kern w:val="0"/>
          <w:sz w:val="44"/>
          <w:szCs w:val="44"/>
        </w:rPr>
      </w:pPr>
      <w:r>
        <w:rPr>
          <w:rFonts w:hint="eastAsia" w:ascii="方正小标宋简体" w:hAnsi="仿宋" w:eastAsia="方正小标宋简体" w:cs="仿宋"/>
          <w:color w:val="auto"/>
          <w:kern w:val="0"/>
          <w:sz w:val="44"/>
          <w:szCs w:val="44"/>
        </w:rPr>
        <w:t>（2018－2025年）统计监测报表制度主要内容</w:t>
      </w:r>
    </w:p>
    <w:p>
      <w:pPr>
        <w:keepNext w:val="0"/>
        <w:keepLines w:val="0"/>
        <w:pageBreakBefore w:val="0"/>
        <w:widowControl/>
        <w:tabs>
          <w:tab w:val="left" w:pos="540"/>
        </w:tabs>
        <w:kinsoku/>
        <w:wordWrap w:val="0"/>
        <w:overflowPunct/>
        <w:topLinePunct w:val="0"/>
        <w:autoSpaceDE/>
        <w:autoSpaceDN/>
        <w:bidi w:val="0"/>
        <w:adjustRightInd/>
        <w:snapToGrid/>
        <w:spacing w:line="640" w:lineRule="exact"/>
        <w:jc w:val="center"/>
        <w:textAlignment w:val="auto"/>
        <w:outlineLvl w:val="9"/>
        <w:rPr>
          <w:rFonts w:hint="eastAsia" w:ascii="方正小标宋简体" w:hAnsi="仿宋" w:eastAsia="方正小标宋简体" w:cs="仿宋"/>
          <w:color w:val="auto"/>
          <w:kern w:val="0"/>
          <w:sz w:val="44"/>
          <w:szCs w:val="44"/>
        </w:rPr>
      </w:pPr>
    </w:p>
    <w:p>
      <w:pPr>
        <w:keepNext w:val="0"/>
        <w:keepLines w:val="0"/>
        <w:pageBreakBefore w:val="0"/>
        <w:widowControl/>
        <w:kinsoku/>
        <w:wordWrap w:val="0"/>
        <w:overflowPunct/>
        <w:topLinePunct w:val="0"/>
        <w:autoSpaceDE/>
        <w:autoSpaceDN/>
        <w:bidi w:val="0"/>
        <w:adjustRightInd/>
        <w:snapToGrid/>
        <w:spacing w:line="560" w:lineRule="exact"/>
        <w:ind w:firstLine="602"/>
        <w:jc w:val="left"/>
        <w:textAlignment w:val="auto"/>
        <w:outlineLvl w:val="9"/>
        <w:rPr>
          <w:rFonts w:ascii="黑体" w:hAnsi="黑体" w:eastAsia="黑体" w:cs="仿宋"/>
          <w:color w:val="auto"/>
          <w:sz w:val="32"/>
          <w:szCs w:val="32"/>
        </w:rPr>
      </w:pPr>
      <w:r>
        <w:rPr>
          <w:rFonts w:hint="eastAsia" w:ascii="黑体" w:hAnsi="黑体" w:eastAsia="黑体" w:cs="仿宋"/>
          <w:color w:val="auto"/>
          <w:kern w:val="0"/>
          <w:sz w:val="32"/>
          <w:szCs w:val="32"/>
        </w:rPr>
        <w:t>一、调查目的</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left"/>
        <w:textAlignment w:val="auto"/>
        <w:outlineLvl w:val="9"/>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color w:val="auto"/>
          <w:kern w:val="0"/>
          <w:sz w:val="32"/>
          <w:szCs w:val="32"/>
        </w:rPr>
        <w:t>全面贯彻落实</w:t>
      </w:r>
      <w:r>
        <w:rPr>
          <w:rFonts w:hint="eastAsia" w:ascii="方正仿宋简体" w:hAnsi="方正仿宋简体" w:eastAsia="方正仿宋简体" w:cs="方正仿宋简体"/>
          <w:color w:val="auto"/>
          <w:kern w:val="0"/>
          <w:sz w:val="32"/>
          <w:szCs w:val="32"/>
          <w:lang w:eastAsia="zh-CN"/>
        </w:rPr>
        <w:t>以</w:t>
      </w:r>
      <w:r>
        <w:rPr>
          <w:rFonts w:hint="eastAsia" w:ascii="方正仿宋简体" w:hAnsi="方正仿宋简体" w:eastAsia="方正仿宋简体" w:cs="方正仿宋简体"/>
          <w:color w:val="auto"/>
          <w:kern w:val="0"/>
          <w:sz w:val="32"/>
          <w:szCs w:val="32"/>
        </w:rPr>
        <w:t>习近平同志为核心的党中央关于青年工作的决策部署和习近平总书记考察云南重要讲话精神，引导广大青年坚定不移听党话跟党走，深入推动云南青年发展工作融入全省“十四五”规划和二〇三五年远景目标任务，全面反映云南广大青年发展水平，为省委、省政府研究部署青年工作提供参考。</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left"/>
        <w:textAlignment w:val="auto"/>
        <w:outlineLvl w:val="9"/>
        <w:rPr>
          <w:rFonts w:ascii="黑体" w:hAnsi="黑体" w:eastAsia="黑体" w:cs="仿宋"/>
          <w:color w:val="auto"/>
          <w:kern w:val="0"/>
          <w:sz w:val="32"/>
          <w:szCs w:val="32"/>
        </w:rPr>
      </w:pPr>
      <w:r>
        <w:rPr>
          <w:rFonts w:hint="eastAsia" w:ascii="黑体" w:hAnsi="黑体" w:eastAsia="黑体" w:cs="仿宋"/>
          <w:color w:val="auto"/>
          <w:kern w:val="0"/>
          <w:sz w:val="32"/>
          <w:szCs w:val="32"/>
        </w:rPr>
        <w:t>二、调查内容</w:t>
      </w:r>
    </w:p>
    <w:p>
      <w:pPr>
        <w:keepNext w:val="0"/>
        <w:keepLines w:val="0"/>
        <w:pageBreakBefore w:val="0"/>
        <w:widowControl/>
        <w:kinsoku/>
        <w:wordWrap w:val="0"/>
        <w:overflowPunct/>
        <w:topLinePunct w:val="0"/>
        <w:autoSpaceDE/>
        <w:autoSpaceDN/>
        <w:bidi w:val="0"/>
        <w:adjustRightInd/>
        <w:snapToGrid/>
        <w:spacing w:line="560" w:lineRule="exact"/>
        <w:ind w:firstLine="602"/>
        <w:jc w:val="left"/>
        <w:textAlignment w:val="auto"/>
        <w:outlineLvl w:val="9"/>
        <w:rPr>
          <w:rFonts w:hint="eastAsia" w:ascii="方正仿宋简体" w:hAnsi="方正仿宋简体" w:eastAsia="方正仿宋简体" w:cs="方正仿宋简体"/>
          <w:color w:val="auto"/>
          <w:kern w:val="0"/>
          <w:sz w:val="32"/>
          <w:szCs w:val="32"/>
        </w:rPr>
      </w:pPr>
      <w:r>
        <w:rPr>
          <w:rFonts w:hint="eastAsia" w:ascii="方正仿宋简体" w:hAnsi="方正仿宋简体" w:eastAsia="方正仿宋简体" w:cs="方正仿宋简体"/>
          <w:color w:val="auto"/>
          <w:kern w:val="0"/>
          <w:sz w:val="32"/>
          <w:szCs w:val="32"/>
        </w:rPr>
        <w:t>统计监测指标体系分为青年思想道德、青年教育、青年健康、青年婚恋、青年就业创业、青年文化、青年社会融入与社会参与、维护青少年合法权益、预防青少年犯罪、青年社会保障等10部分，涉及25项具体工作目标，包含各项指标45个，其中核心指标7个，重要指标38个。核心指标主要反映青年发展工作发展目标达成情况</w:t>
      </w:r>
      <w:r>
        <w:rPr>
          <w:rFonts w:hint="eastAsia" w:ascii="方正仿宋简体" w:hAnsi="方正仿宋简体" w:eastAsia="方正仿宋简体" w:cs="方正仿宋简体"/>
          <w:color w:val="auto"/>
          <w:kern w:val="0"/>
          <w:sz w:val="32"/>
          <w:szCs w:val="32"/>
          <w:lang w:eastAsia="zh-CN"/>
        </w:rPr>
        <w:t>，</w:t>
      </w:r>
      <w:r>
        <w:rPr>
          <w:rFonts w:hint="eastAsia" w:ascii="方正仿宋简体" w:hAnsi="方正仿宋简体" w:eastAsia="方正仿宋简体" w:cs="方正仿宋简体"/>
          <w:color w:val="auto"/>
          <w:kern w:val="0"/>
          <w:sz w:val="32"/>
          <w:szCs w:val="32"/>
        </w:rPr>
        <w:t>重要指标主要反映《云南省中长期青年发展规划》具体措施执行情况。</w:t>
      </w:r>
    </w:p>
    <w:p>
      <w:pPr>
        <w:keepNext w:val="0"/>
        <w:keepLines w:val="0"/>
        <w:pageBreakBefore w:val="0"/>
        <w:widowControl/>
        <w:kinsoku/>
        <w:wordWrap w:val="0"/>
        <w:overflowPunct/>
        <w:topLinePunct w:val="0"/>
        <w:autoSpaceDE/>
        <w:autoSpaceDN/>
        <w:bidi w:val="0"/>
        <w:adjustRightInd/>
        <w:snapToGrid/>
        <w:spacing w:line="560" w:lineRule="exact"/>
        <w:ind w:firstLine="602"/>
        <w:jc w:val="left"/>
        <w:textAlignment w:val="auto"/>
        <w:outlineLvl w:val="9"/>
        <w:rPr>
          <w:rFonts w:ascii="黑体" w:hAnsi="黑体" w:eastAsia="黑体" w:cs="仿宋"/>
          <w:color w:val="auto"/>
          <w:sz w:val="32"/>
          <w:szCs w:val="32"/>
        </w:rPr>
      </w:pPr>
      <w:r>
        <w:rPr>
          <w:rFonts w:hint="eastAsia" w:ascii="黑体" w:hAnsi="黑体" w:eastAsia="黑体" w:cs="仿宋"/>
          <w:color w:val="auto"/>
          <w:kern w:val="0"/>
          <w:sz w:val="32"/>
          <w:szCs w:val="32"/>
        </w:rPr>
        <w:t>三、调查对象及范围</w:t>
      </w:r>
      <w:bookmarkStart w:id="0" w:name="_GoBack"/>
      <w:bookmarkEnd w:id="0"/>
    </w:p>
    <w:p>
      <w:pPr>
        <w:keepNext w:val="0"/>
        <w:keepLines w:val="0"/>
        <w:pageBreakBefore w:val="0"/>
        <w:widowControl/>
        <w:kinsoku/>
        <w:wordWrap w:val="0"/>
        <w:overflowPunct/>
        <w:topLinePunct w:val="0"/>
        <w:autoSpaceDE/>
        <w:autoSpaceDN/>
        <w:bidi w:val="0"/>
        <w:adjustRightInd/>
        <w:snapToGrid/>
        <w:spacing w:line="560" w:lineRule="exact"/>
        <w:ind w:firstLine="600"/>
        <w:jc w:val="left"/>
        <w:textAlignment w:val="auto"/>
        <w:outlineLvl w:val="9"/>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kern w:val="0"/>
          <w:sz w:val="32"/>
          <w:szCs w:val="32"/>
          <w:lang w:eastAsia="zh-CN"/>
        </w:rPr>
        <w:t>省级</w:t>
      </w:r>
      <w:r>
        <w:rPr>
          <w:rFonts w:hint="eastAsia" w:ascii="方正仿宋简体" w:hAnsi="方正仿宋简体" w:eastAsia="方正仿宋简体" w:cs="方正仿宋简体"/>
          <w:color w:val="auto"/>
          <w:kern w:val="0"/>
          <w:sz w:val="32"/>
          <w:szCs w:val="32"/>
        </w:rPr>
        <w:t>22个相关部门</w:t>
      </w:r>
      <w:r>
        <w:rPr>
          <w:rFonts w:hint="eastAsia" w:ascii="方正仿宋简体" w:hAnsi="方正仿宋简体" w:eastAsia="方正仿宋简体" w:cs="方正仿宋简体"/>
          <w:color w:val="auto"/>
          <w:kern w:val="0"/>
          <w:sz w:val="32"/>
          <w:szCs w:val="32"/>
          <w:lang w:eastAsia="zh-CN"/>
        </w:rPr>
        <w:t>和单位</w:t>
      </w:r>
      <w:r>
        <w:rPr>
          <w:rFonts w:hint="eastAsia" w:ascii="方正仿宋简体" w:hAnsi="方正仿宋简体" w:eastAsia="方正仿宋简体" w:cs="方正仿宋简体"/>
          <w:color w:val="auto"/>
          <w:kern w:val="0"/>
          <w:sz w:val="32"/>
          <w:szCs w:val="32"/>
        </w:rPr>
        <w:t>涉及青年工作</w:t>
      </w:r>
      <w:r>
        <w:rPr>
          <w:rFonts w:hint="eastAsia" w:ascii="方正仿宋简体" w:hAnsi="方正仿宋简体" w:eastAsia="方正仿宋简体" w:cs="方正仿宋简体"/>
          <w:color w:val="auto"/>
          <w:kern w:val="0"/>
          <w:sz w:val="32"/>
          <w:szCs w:val="32"/>
          <w:lang w:eastAsia="zh-CN"/>
        </w:rPr>
        <w:t>的</w:t>
      </w:r>
      <w:r>
        <w:rPr>
          <w:rFonts w:hint="eastAsia" w:ascii="方正仿宋简体" w:hAnsi="方正仿宋简体" w:eastAsia="方正仿宋简体" w:cs="方正仿宋简体"/>
          <w:color w:val="auto"/>
          <w:kern w:val="0"/>
          <w:sz w:val="32"/>
          <w:szCs w:val="32"/>
        </w:rPr>
        <w:t>数据。</w:t>
      </w:r>
    </w:p>
    <w:p>
      <w:pPr>
        <w:keepNext w:val="0"/>
        <w:keepLines w:val="0"/>
        <w:pageBreakBefore w:val="0"/>
        <w:widowControl/>
        <w:kinsoku/>
        <w:wordWrap w:val="0"/>
        <w:overflowPunct/>
        <w:topLinePunct w:val="0"/>
        <w:autoSpaceDE/>
        <w:autoSpaceDN/>
        <w:bidi w:val="0"/>
        <w:adjustRightInd/>
        <w:snapToGrid/>
        <w:spacing w:line="560" w:lineRule="exact"/>
        <w:ind w:firstLine="602"/>
        <w:jc w:val="left"/>
        <w:textAlignment w:val="auto"/>
        <w:outlineLvl w:val="9"/>
        <w:rPr>
          <w:rFonts w:ascii="黑体" w:hAnsi="黑体" w:eastAsia="黑体" w:cs="仿宋"/>
          <w:color w:val="auto"/>
          <w:sz w:val="32"/>
          <w:szCs w:val="32"/>
        </w:rPr>
      </w:pPr>
      <w:r>
        <w:rPr>
          <w:rFonts w:hint="eastAsia" w:ascii="黑体" w:hAnsi="黑体" w:eastAsia="黑体" w:cs="仿宋"/>
          <w:color w:val="auto"/>
          <w:kern w:val="0"/>
          <w:sz w:val="32"/>
          <w:szCs w:val="32"/>
        </w:rPr>
        <w:t>四、调查方法</w:t>
      </w:r>
    </w:p>
    <w:p>
      <w:pPr>
        <w:keepNext w:val="0"/>
        <w:keepLines w:val="0"/>
        <w:pageBreakBefore w:val="0"/>
        <w:widowControl/>
        <w:kinsoku/>
        <w:wordWrap w:val="0"/>
        <w:overflowPunct/>
        <w:topLinePunct w:val="0"/>
        <w:autoSpaceDE/>
        <w:autoSpaceDN/>
        <w:bidi w:val="0"/>
        <w:adjustRightInd/>
        <w:snapToGrid/>
        <w:spacing w:line="560" w:lineRule="exact"/>
        <w:ind w:firstLine="602"/>
        <w:jc w:val="left"/>
        <w:textAlignment w:val="auto"/>
        <w:outlineLvl w:val="9"/>
        <w:rPr>
          <w:rFonts w:ascii="仿宋_GB2312" w:hAnsi="仿宋" w:eastAsia="仿宋_GB2312" w:cs="仿宋"/>
          <w:color w:val="auto"/>
          <w:sz w:val="32"/>
          <w:szCs w:val="32"/>
        </w:rPr>
      </w:pPr>
      <w:r>
        <w:rPr>
          <w:rFonts w:hint="eastAsia" w:ascii="方正仿宋简体" w:hAnsi="方正仿宋简体" w:eastAsia="方正仿宋简体" w:cs="方正仿宋简体"/>
          <w:color w:val="auto"/>
          <w:kern w:val="0"/>
          <w:sz w:val="32"/>
          <w:szCs w:val="32"/>
        </w:rPr>
        <w:t>本制度采用直接调查方法。</w:t>
      </w:r>
      <w:r>
        <w:rPr>
          <w:rFonts w:hint="eastAsia" w:ascii="仿宋_GB2312" w:hAnsi="仿宋" w:eastAsia="仿宋_GB2312" w:cs="仿宋"/>
          <w:b/>
          <w:bCs/>
          <w:color w:val="auto"/>
          <w:kern w:val="0"/>
          <w:sz w:val="32"/>
          <w:szCs w:val="32"/>
        </w:rPr>
        <w:t xml:space="preserve"> </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left"/>
        <w:textAlignment w:val="auto"/>
        <w:outlineLvl w:val="9"/>
        <w:rPr>
          <w:rFonts w:ascii="黑体" w:hAnsi="黑体" w:eastAsia="黑体" w:cs="仿宋"/>
          <w:color w:val="auto"/>
          <w:sz w:val="32"/>
          <w:szCs w:val="32"/>
        </w:rPr>
      </w:pPr>
      <w:r>
        <w:rPr>
          <w:rFonts w:hint="eastAsia" w:ascii="黑体" w:hAnsi="黑体" w:eastAsia="黑体" w:cs="仿宋"/>
          <w:color w:val="auto"/>
          <w:kern w:val="0"/>
          <w:sz w:val="32"/>
          <w:szCs w:val="32"/>
        </w:rPr>
        <w:t>五、组织方式</w:t>
      </w:r>
    </w:p>
    <w:p>
      <w:pPr>
        <w:keepNext w:val="0"/>
        <w:keepLines w:val="0"/>
        <w:pageBreakBefore w:val="0"/>
        <w:widowControl/>
        <w:kinsoku/>
        <w:wordWrap w:val="0"/>
        <w:overflowPunct/>
        <w:topLinePunct w:val="0"/>
        <w:autoSpaceDE/>
        <w:autoSpaceDN/>
        <w:bidi w:val="0"/>
        <w:adjustRightInd/>
        <w:snapToGrid/>
        <w:spacing w:line="560" w:lineRule="exact"/>
        <w:ind w:firstLine="600"/>
        <w:jc w:val="left"/>
        <w:textAlignment w:val="auto"/>
        <w:outlineLvl w:val="9"/>
        <w:rPr>
          <w:rFonts w:ascii="仿宋_GB2312" w:hAnsi="仿宋" w:eastAsia="仿宋_GB2312" w:cs="仿宋"/>
          <w:b/>
          <w:bCs/>
          <w:color w:val="auto"/>
          <w:sz w:val="32"/>
          <w:szCs w:val="32"/>
        </w:rPr>
      </w:pPr>
      <w:r>
        <w:rPr>
          <w:rFonts w:hint="eastAsia" w:ascii="方正仿宋简体" w:hAnsi="方正仿宋简体" w:eastAsia="方正仿宋简体" w:cs="方正仿宋简体"/>
          <w:color w:val="auto"/>
          <w:kern w:val="0"/>
          <w:sz w:val="32"/>
          <w:szCs w:val="32"/>
        </w:rPr>
        <w:t>本制度由共青团云南省委负责组织实施</w:t>
      </w:r>
      <w:r>
        <w:rPr>
          <w:rFonts w:hint="eastAsia" w:ascii="方正仿宋简体" w:hAnsi="方正仿宋简体" w:eastAsia="方正仿宋简体" w:cs="方正仿宋简体"/>
          <w:color w:val="auto"/>
          <w:kern w:val="0"/>
          <w:sz w:val="32"/>
          <w:szCs w:val="32"/>
          <w:lang w:eastAsia="zh-CN"/>
        </w:rPr>
        <w:t>，</w:t>
      </w:r>
      <w:r>
        <w:rPr>
          <w:rFonts w:hint="eastAsia" w:ascii="方正仿宋简体" w:hAnsi="方正仿宋简体" w:eastAsia="方正仿宋简体" w:cs="方正仿宋简体"/>
          <w:color w:val="auto"/>
          <w:kern w:val="0"/>
          <w:sz w:val="32"/>
          <w:szCs w:val="32"/>
        </w:rPr>
        <w:t>各相关部门</w:t>
      </w:r>
      <w:r>
        <w:rPr>
          <w:rFonts w:hint="eastAsia" w:ascii="方正仿宋简体" w:hAnsi="方正仿宋简体" w:eastAsia="方正仿宋简体" w:cs="方正仿宋简体"/>
          <w:color w:val="auto"/>
          <w:kern w:val="0"/>
          <w:sz w:val="32"/>
          <w:szCs w:val="32"/>
          <w:lang w:eastAsia="zh-CN"/>
        </w:rPr>
        <w:t>和</w:t>
      </w:r>
      <w:r>
        <w:rPr>
          <w:rFonts w:hint="eastAsia" w:ascii="方正仿宋简体" w:hAnsi="方正仿宋简体" w:eastAsia="方正仿宋简体" w:cs="方正仿宋简体"/>
          <w:color w:val="auto"/>
          <w:kern w:val="0"/>
          <w:sz w:val="32"/>
          <w:szCs w:val="32"/>
        </w:rPr>
        <w:t>单位每年4月30日前，将报表数据光盘通过机要交换方式报送省青年工作联系会议办公室（共青团云南省委）。</w:t>
      </w:r>
    </w:p>
    <w:p>
      <w:pPr>
        <w:keepNext w:val="0"/>
        <w:keepLines w:val="0"/>
        <w:pageBreakBefore w:val="0"/>
        <w:widowControl/>
        <w:kinsoku/>
        <w:wordWrap w:val="0"/>
        <w:overflowPunct/>
        <w:topLinePunct w:val="0"/>
        <w:autoSpaceDE/>
        <w:autoSpaceDN/>
        <w:bidi w:val="0"/>
        <w:adjustRightInd/>
        <w:snapToGrid/>
        <w:spacing w:line="560" w:lineRule="exact"/>
        <w:ind w:firstLine="602"/>
        <w:jc w:val="left"/>
        <w:textAlignment w:val="auto"/>
        <w:outlineLvl w:val="9"/>
        <w:rPr>
          <w:rFonts w:ascii="黑体" w:hAnsi="黑体" w:eastAsia="黑体" w:cs="仿宋"/>
          <w:color w:val="auto"/>
          <w:sz w:val="32"/>
          <w:szCs w:val="32"/>
        </w:rPr>
      </w:pPr>
      <w:r>
        <w:rPr>
          <w:rFonts w:hint="eastAsia" w:ascii="黑体" w:hAnsi="黑体" w:eastAsia="黑体" w:cs="仿宋"/>
          <w:color w:val="auto"/>
          <w:kern w:val="0"/>
          <w:sz w:val="32"/>
          <w:szCs w:val="32"/>
        </w:rPr>
        <w:t>六、数据发布</w:t>
      </w:r>
    </w:p>
    <w:p>
      <w:pPr>
        <w:keepNext w:val="0"/>
        <w:keepLines w:val="0"/>
        <w:pageBreakBefore w:val="0"/>
        <w:widowControl/>
        <w:kinsoku/>
        <w:wordWrap w:val="0"/>
        <w:overflowPunct/>
        <w:topLinePunct w:val="0"/>
        <w:autoSpaceDE/>
        <w:autoSpaceDN/>
        <w:bidi w:val="0"/>
        <w:adjustRightInd/>
        <w:snapToGrid/>
        <w:spacing w:line="560" w:lineRule="exact"/>
        <w:ind w:firstLine="640"/>
        <w:jc w:val="left"/>
        <w:textAlignment w:val="auto"/>
        <w:outlineLvl w:val="9"/>
        <w:rPr>
          <w:rFonts w:hint="eastAsia" w:ascii="方正仿宋简体" w:hAnsi="方正仿宋简体" w:eastAsia="方正仿宋简体" w:cs="方正仿宋简体"/>
          <w:color w:val="auto"/>
          <w:kern w:val="0"/>
          <w:sz w:val="32"/>
          <w:szCs w:val="32"/>
        </w:rPr>
      </w:pPr>
      <w:r>
        <w:rPr>
          <w:rFonts w:hint="eastAsia" w:ascii="方正仿宋简体" w:hAnsi="方正仿宋简体" w:eastAsia="方正仿宋简体" w:cs="方正仿宋简体"/>
          <w:color w:val="auto"/>
          <w:kern w:val="0"/>
          <w:sz w:val="32"/>
          <w:szCs w:val="32"/>
        </w:rPr>
        <w:t>调查数据的部分内容通过年度监测报告的形式向云南省青年工作联席会议各成员单位进行通报。</w:t>
      </w:r>
    </w:p>
    <w:p>
      <w:pPr>
        <w:widowControl/>
        <w:wordWrap w:val="0"/>
        <w:spacing w:line="560" w:lineRule="exact"/>
        <w:ind w:firstLine="640"/>
        <w:jc w:val="left"/>
        <w:rPr>
          <w:rFonts w:ascii="仿宋" w:hAnsi="仿宋" w:eastAsia="仿宋" w:cs="仿宋"/>
          <w:color w:val="auto"/>
          <w:kern w:val="0"/>
          <w:sz w:val="32"/>
          <w:szCs w:val="32"/>
        </w:rPr>
      </w:pPr>
    </w:p>
    <w:p>
      <w:pPr>
        <w:widowControl/>
        <w:wordWrap w:val="0"/>
        <w:spacing w:line="360" w:lineRule="atLeast"/>
        <w:ind w:firstLine="480"/>
        <w:jc w:val="left"/>
        <w:rPr>
          <w:color w:val="auto"/>
        </w:rPr>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FE8064C-6E1B-4CA9-81D4-46A0E547E67E}"/>
  </w:font>
  <w:font w:name="Arial">
    <w:panose1 w:val="020B0604020202020204"/>
    <w:charset w:val="01"/>
    <w:family w:val="swiss"/>
    <w:pitch w:val="default"/>
    <w:sig w:usb0="E0002AFF" w:usb1="C0007843" w:usb2="00000009" w:usb3="00000000" w:csb0="400001FF" w:csb1="FFFF0000"/>
    <w:embedRegular r:id="rId2" w:fontKey="{F13E9540-28C3-43F2-BA79-1770B8605878}"/>
  </w:font>
  <w:font w:name="黑体">
    <w:panose1 w:val="02010609060101010101"/>
    <w:charset w:val="86"/>
    <w:family w:val="auto"/>
    <w:pitch w:val="default"/>
    <w:sig w:usb0="800002BF" w:usb1="38CF7CFA" w:usb2="00000016" w:usb3="00000000" w:csb0="00040001" w:csb1="00000000"/>
    <w:embedRegular r:id="rId3" w:fontKey="{5E2C181B-1689-4DF7-98D7-02DBC096B132}"/>
  </w:font>
  <w:font w:name="Courier New">
    <w:panose1 w:val="02070309020205020404"/>
    <w:charset w:val="01"/>
    <w:family w:val="modern"/>
    <w:pitch w:val="default"/>
    <w:sig w:usb0="E0002AFF" w:usb1="C0007843" w:usb2="00000009" w:usb3="00000000" w:csb0="400001FF" w:csb1="FFFF0000"/>
    <w:embedRegular r:id="rId4" w:fontKey="{CEB56DBD-7BA7-4C2E-A5A7-482E21AAEC55}"/>
  </w:font>
  <w:font w:name="Symbol">
    <w:panose1 w:val="05050102010706020507"/>
    <w:charset w:val="02"/>
    <w:family w:val="roman"/>
    <w:pitch w:val="default"/>
    <w:sig w:usb0="00000000" w:usb1="00000000" w:usb2="00000000" w:usb3="00000000" w:csb0="80000000" w:csb1="00000000"/>
    <w:embedRegular r:id="rId5" w:fontKey="{9D190C3B-2B33-4A19-B01C-3AF2362A34AC}"/>
  </w:font>
  <w:font w:name="Calibri">
    <w:panose1 w:val="020F0502020204030204"/>
    <w:charset w:val="00"/>
    <w:family w:val="swiss"/>
    <w:pitch w:val="default"/>
    <w:sig w:usb0="E00002FF" w:usb1="4000ACFF" w:usb2="00000001" w:usb3="00000000" w:csb0="2000019F" w:csb1="00000000"/>
    <w:embedRegular r:id="rId6" w:fontKey="{C63B31B6-D5DD-4166-8596-96BD67A28240}"/>
  </w:font>
  <w:font w:name="方正小标宋简体">
    <w:panose1 w:val="03000509000000000000"/>
    <w:charset w:val="86"/>
    <w:family w:val="script"/>
    <w:pitch w:val="default"/>
    <w:sig w:usb0="00000001" w:usb1="080E0000" w:usb2="00000000" w:usb3="00000000" w:csb0="00040000" w:csb1="00000000"/>
    <w:embedRegular r:id="rId7" w:fontKey="{E65C539E-7D65-4C2A-B4DD-EE5A6787B40D}"/>
  </w:font>
  <w:font w:name="仿宋">
    <w:panose1 w:val="02010609060101010101"/>
    <w:charset w:val="86"/>
    <w:family w:val="modern"/>
    <w:pitch w:val="default"/>
    <w:sig w:usb0="800002BF" w:usb1="38CF7CFA" w:usb2="00000016" w:usb3="00000000" w:csb0="00040001" w:csb1="00000000"/>
    <w:embedRegular r:id="rId8" w:fontKey="{13C83005-D521-4C6B-B05E-53A7FF9A1ED5}"/>
  </w:font>
  <w:font w:name="方正仿宋简体">
    <w:panose1 w:val="03000509000000000000"/>
    <w:charset w:val="86"/>
    <w:family w:val="auto"/>
    <w:pitch w:val="default"/>
    <w:sig w:usb0="00000001" w:usb1="080E0000" w:usb2="00000000" w:usb3="00000000" w:csb0="00040000" w:csb1="00000000"/>
    <w:embedRegular r:id="rId9" w:fontKey="{60BD4657-0DF2-4DB6-9DB4-A8B6EB2E8B30}"/>
  </w:font>
  <w:font w:name="仿宋_GB2312">
    <w:panose1 w:val="02010609030101010101"/>
    <w:charset w:val="86"/>
    <w:family w:val="modern"/>
    <w:pitch w:val="default"/>
    <w:sig w:usb0="00000001" w:usb1="080E0000" w:usb2="00000000" w:usb3="00000000" w:csb0="00040000" w:csb1="00000000"/>
    <w:embedRegular r:id="rId10" w:fontKey="{AC3F612F-7AA1-4A10-AE65-7BF1C36B229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549F3A60"/>
    <w:rsid w:val="00122B08"/>
    <w:rsid w:val="00134939"/>
    <w:rsid w:val="0035733D"/>
    <w:rsid w:val="005146D7"/>
    <w:rsid w:val="00526E95"/>
    <w:rsid w:val="005F4429"/>
    <w:rsid w:val="00824234"/>
    <w:rsid w:val="009D5A82"/>
    <w:rsid w:val="00BC1191"/>
    <w:rsid w:val="00BF287D"/>
    <w:rsid w:val="00C11E75"/>
    <w:rsid w:val="00C5447C"/>
    <w:rsid w:val="00C723EC"/>
    <w:rsid w:val="00CC68AC"/>
    <w:rsid w:val="00D652F7"/>
    <w:rsid w:val="00DA52E1"/>
    <w:rsid w:val="00F2711E"/>
    <w:rsid w:val="00F369A5"/>
    <w:rsid w:val="00F64FDB"/>
    <w:rsid w:val="0CFE3544"/>
    <w:rsid w:val="1CD56DCF"/>
    <w:rsid w:val="1D825D92"/>
    <w:rsid w:val="2DDC6AF7"/>
    <w:rsid w:val="326C3999"/>
    <w:rsid w:val="38642697"/>
    <w:rsid w:val="3EDC12E3"/>
    <w:rsid w:val="43E5509D"/>
    <w:rsid w:val="44246C54"/>
    <w:rsid w:val="4D3C5A54"/>
    <w:rsid w:val="53FB0E95"/>
    <w:rsid w:val="549F3A60"/>
    <w:rsid w:val="578A4AD5"/>
    <w:rsid w:val="618D2191"/>
    <w:rsid w:val="6D9E28FB"/>
    <w:rsid w:val="70B93CD1"/>
    <w:rsid w:val="74E23BEE"/>
    <w:rsid w:val="77B005BE"/>
    <w:rsid w:val="7B6836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9"/>
    <w:qFormat/>
    <w:uiPriority w:val="0"/>
    <w:pPr>
      <w:tabs>
        <w:tab w:val="center" w:pos="4153"/>
        <w:tab w:val="right" w:pos="8306"/>
      </w:tabs>
      <w:snapToGrid w:val="0"/>
      <w:jc w:val="left"/>
    </w:pPr>
    <w:rPr>
      <w:sz w:val="18"/>
      <w:szCs w:val="18"/>
    </w:rPr>
  </w:style>
  <w:style w:type="paragraph" w:styleId="3">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character" w:styleId="5">
    <w:name w:val="Hyperlink"/>
    <w:basedOn w:val="4"/>
    <w:qFormat/>
    <w:uiPriority w:val="0"/>
    <w:rPr>
      <w:color w:val="0000FF"/>
      <w:u w:val="none"/>
    </w:rPr>
  </w:style>
  <w:style w:type="paragraph" w:customStyle="1" w:styleId="7">
    <w:name w:val="_Style 6"/>
    <w:basedOn w:val="1"/>
    <w:next w:val="1"/>
    <w:qFormat/>
    <w:uiPriority w:val="0"/>
    <w:pPr>
      <w:pBdr>
        <w:top w:val="single" w:color="auto" w:sz="6" w:space="1"/>
      </w:pBdr>
      <w:jc w:val="center"/>
    </w:pPr>
    <w:rPr>
      <w:rFonts w:ascii="Arial" w:eastAsia="宋体"/>
      <w:vanish/>
      <w:sz w:val="16"/>
    </w:rPr>
  </w:style>
  <w:style w:type="character" w:customStyle="1" w:styleId="8">
    <w:name w:val="页眉 Char"/>
    <w:basedOn w:val="4"/>
    <w:link w:val="3"/>
    <w:qFormat/>
    <w:uiPriority w:val="0"/>
    <w:rPr>
      <w:rFonts w:asciiTheme="minorHAnsi" w:hAnsiTheme="minorHAnsi" w:eastAsiaTheme="minorEastAsia" w:cstheme="minorBidi"/>
      <w:kern w:val="2"/>
      <w:sz w:val="18"/>
      <w:szCs w:val="18"/>
    </w:rPr>
  </w:style>
  <w:style w:type="character" w:customStyle="1" w:styleId="9">
    <w:name w:val="页脚 Char"/>
    <w:basedOn w:val="4"/>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云南省统计局</Company>
  <Pages>2</Pages>
  <Words>106</Words>
  <Characters>610</Characters>
  <Lines>5</Lines>
  <Paragraphs>1</Paragraphs>
  <TotalTime>47</TotalTime>
  <ScaleCrop>false</ScaleCrop>
  <LinksUpToDate>false</LinksUpToDate>
  <CharactersWithSpaces>715</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2019-04-17T02:39:00Z</dcterms:created>
  <dc:creator>刘嵩</dc:creator>
  <cp:lastModifiedBy>Summer</cp:lastModifiedBy>
  <cp:lastPrinted>2021-08-25T06:38:03Z</cp:lastPrinted>
  <dcterms:modified xsi:type="dcterms:W3CDTF">2021-08-25T08:42:17Z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y fmtid="{D5CDD505-2E9C-101B-9397-08002B2CF9AE}" pid="3" name="KSOSaveFontToCloudKey">
    <vt:lpwstr>849407193_embed</vt:lpwstr>
  </property>
  <property fmtid="{D5CDD505-2E9C-101B-9397-08002B2CF9AE}" pid="4" name="ICV">
    <vt:lpwstr>1F0670CF2C0E4AB0982FB8FF16D5E81B</vt:lpwstr>
  </property>
</Properties>
</file>