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云南省城乡居民食品安全</w:t>
      </w:r>
    </w:p>
    <w:p>
      <w:pPr>
        <w:keepNext w:val="0"/>
        <w:keepLines w:val="0"/>
        <w:pageBreakBefore w:val="0"/>
        <w:widowControl w:val="0"/>
        <w:kinsoku/>
        <w:wordWrap/>
        <w:overflowPunct/>
        <w:topLinePunct w:val="0"/>
        <w:autoSpaceDE/>
        <w:autoSpaceDN/>
        <w:bidi w:val="0"/>
        <w:adjustRightInd/>
        <w:snapToGrid/>
        <w:spacing w:line="640" w:lineRule="exact"/>
        <w:ind w:left="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满意度调查</w:t>
      </w:r>
      <w:r>
        <w:rPr>
          <w:rFonts w:hint="eastAsia" w:ascii="方正小标宋简体" w:hAnsi="方正小标宋简体" w:eastAsia="方正小标宋简体" w:cs="方正小标宋简体"/>
          <w:b w:val="0"/>
          <w:bCs w:val="0"/>
          <w:color w:val="auto"/>
          <w:sz w:val="44"/>
          <w:szCs w:val="44"/>
          <w:lang w:eastAsia="zh-CN"/>
        </w:rPr>
        <w:t>主要内容</w:t>
      </w:r>
    </w:p>
    <w:p>
      <w:pPr>
        <w:keepNext w:val="0"/>
        <w:keepLines w:val="0"/>
        <w:pageBreakBefore w:val="0"/>
        <w:kinsoku/>
        <w:wordWrap/>
        <w:overflowPunct/>
        <w:topLinePunct w:val="0"/>
        <w:autoSpaceDE/>
        <w:autoSpaceDN/>
        <w:bidi w:val="0"/>
        <w:adjustRightInd/>
        <w:snapToGrid/>
        <w:spacing w:line="560" w:lineRule="exact"/>
        <w:ind w:left="0" w:right="0" w:rightChars="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lang w:val="zh-TW" w:eastAsia="zh-TW" w:bidi="ar"/>
        </w:rPr>
      </w:pPr>
      <w:bookmarkStart w:id="0" w:name="_Toc8499"/>
      <w:r>
        <w:rPr>
          <w:rFonts w:hint="eastAsia" w:ascii="方正黑体简体" w:hAnsi="方正黑体简体" w:eastAsia="方正黑体简体" w:cs="方正黑体简体"/>
          <w:color w:val="auto"/>
          <w:kern w:val="0"/>
          <w:sz w:val="32"/>
          <w:szCs w:val="32"/>
          <w:lang w:val="zh-TW" w:eastAsia="zh-CN" w:bidi="ar"/>
        </w:rPr>
        <w:t>一、</w:t>
      </w:r>
      <w:r>
        <w:rPr>
          <w:rFonts w:hint="eastAsia" w:ascii="方正黑体简体" w:hAnsi="方正黑体简体" w:eastAsia="方正黑体简体" w:cs="方正黑体简体"/>
          <w:color w:val="auto"/>
          <w:kern w:val="0"/>
          <w:sz w:val="32"/>
          <w:szCs w:val="32"/>
          <w:lang w:val="zh-TW" w:eastAsia="zh-TW" w:bidi="ar"/>
        </w:rPr>
        <w:t>调查目的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color w:val="auto"/>
          <w:kern w:val="0"/>
          <w:sz w:val="32"/>
          <w:szCs w:val="32"/>
          <w:lang w:val="zh-TW" w:eastAsia="zh-TW" w:bidi="ar"/>
        </w:rPr>
      </w:pPr>
      <w:r>
        <w:rPr>
          <w:rFonts w:hint="eastAsia" w:ascii="方正仿宋简体" w:hAnsi="方正仿宋简体" w:eastAsia="方正仿宋简体" w:cs="方正仿宋简体"/>
          <w:color w:val="auto"/>
          <w:sz w:val="32"/>
          <w:szCs w:val="32"/>
          <w:lang w:eastAsia="zh-CN"/>
        </w:rPr>
        <w:t>持续</w:t>
      </w:r>
      <w:r>
        <w:rPr>
          <w:rFonts w:hint="eastAsia" w:ascii="方正仿宋简体" w:hAnsi="方正仿宋简体" w:eastAsia="方正仿宋简体" w:cs="方正仿宋简体"/>
          <w:color w:val="auto"/>
          <w:sz w:val="32"/>
          <w:szCs w:val="32"/>
        </w:rPr>
        <w:t>开展食品安全满意度调查工作</w:t>
      </w:r>
      <w:r>
        <w:rPr>
          <w:rFonts w:hint="eastAsia" w:ascii="方正仿宋简体" w:hAnsi="方正仿宋简体" w:eastAsia="方正仿宋简体" w:cs="方正仿宋简体"/>
          <w:color w:val="auto"/>
          <w:kern w:val="0"/>
          <w:sz w:val="32"/>
          <w:szCs w:val="32"/>
          <w:lang w:bidi="ar"/>
        </w:rPr>
        <w:t>，</w:t>
      </w:r>
      <w:r>
        <w:rPr>
          <w:rFonts w:hint="eastAsia" w:ascii="方正仿宋简体" w:hAnsi="方正仿宋简体" w:eastAsia="方正仿宋简体" w:cs="方正仿宋简体"/>
          <w:color w:val="auto"/>
          <w:sz w:val="32"/>
          <w:szCs w:val="32"/>
        </w:rPr>
        <w:t>客观测度人民群众在一定时期和空间下对食品安全状况的综合满意程度，对</w:t>
      </w:r>
      <w:r>
        <w:rPr>
          <w:rFonts w:hint="eastAsia" w:ascii="方正仿宋简体" w:hAnsi="方正仿宋简体" w:eastAsia="方正仿宋简体" w:cs="方正仿宋简体"/>
          <w:color w:val="auto"/>
          <w:sz w:val="32"/>
          <w:szCs w:val="32"/>
          <w:lang w:eastAsia="zh-CN"/>
        </w:rPr>
        <w:t>全省</w:t>
      </w:r>
      <w:r>
        <w:rPr>
          <w:rFonts w:hint="eastAsia" w:ascii="方正仿宋简体" w:hAnsi="方正仿宋简体" w:eastAsia="方正仿宋简体" w:cs="方正仿宋简体"/>
          <w:color w:val="auto"/>
          <w:sz w:val="32"/>
          <w:szCs w:val="32"/>
        </w:rPr>
        <w:t>监管机构了解食品安全的公众关注情况、区域食品安全舆论状况、监管措施成效检验等方面都具有重要的参考作用，对提高食品安全监管的时效性、精准性和前瞻性具有较好的指导作用，可以为食品安全创新监管提供有力支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lang w:val="zh-TW" w:eastAsia="zh-CN" w:bidi="ar"/>
        </w:rPr>
      </w:pPr>
      <w:bookmarkStart w:id="1" w:name="_Toc32438"/>
      <w:bookmarkStart w:id="2" w:name="_Toc16501_WPSOffice_Level1"/>
      <w:r>
        <w:rPr>
          <w:rFonts w:hint="eastAsia" w:ascii="方正黑体简体" w:hAnsi="方正黑体简体" w:eastAsia="方正黑体简体" w:cs="方正黑体简体"/>
          <w:color w:val="auto"/>
          <w:kern w:val="0"/>
          <w:sz w:val="32"/>
          <w:szCs w:val="32"/>
          <w:lang w:val="zh-TW" w:eastAsia="zh-CN" w:bidi="ar"/>
        </w:rPr>
        <w:t>二、调查内容</w:t>
      </w:r>
    </w:p>
    <w:p>
      <w:pPr>
        <w:keepNext w:val="0"/>
        <w:keepLines w:val="0"/>
        <w:pageBreakBefore w:val="0"/>
        <w:numPr>
          <w:ilvl w:val="0"/>
          <w:numId w:val="0"/>
        </w:numPr>
        <w:kinsoku/>
        <w:wordWrap/>
        <w:overflowPunct/>
        <w:topLinePunct w:val="0"/>
        <w:bidi w:val="0"/>
        <w:spacing w:line="560" w:lineRule="exact"/>
        <w:ind w:left="0" w:leftChars="0"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主要</w:t>
      </w:r>
      <w:r>
        <w:rPr>
          <w:rFonts w:hint="eastAsia" w:ascii="方正仿宋简体" w:hAnsi="方正仿宋简体" w:eastAsia="方正仿宋简体" w:cs="方正仿宋简体"/>
          <w:color w:val="auto"/>
          <w:sz w:val="32"/>
          <w:szCs w:val="32"/>
        </w:rPr>
        <w:t>从食品安全监管工作、食品生产经营场所、食品品种、食品安全问题等4个方面</w:t>
      </w:r>
      <w:r>
        <w:rPr>
          <w:rFonts w:hint="eastAsia" w:ascii="方正仿宋简体" w:hAnsi="方正仿宋简体" w:eastAsia="方正仿宋简体" w:cs="方正仿宋简体"/>
          <w:color w:val="auto"/>
          <w:sz w:val="32"/>
          <w:szCs w:val="32"/>
          <w:lang w:eastAsia="zh-CN"/>
        </w:rPr>
        <w:t>分析</w:t>
      </w:r>
      <w:r>
        <w:rPr>
          <w:rFonts w:hint="eastAsia" w:ascii="方正仿宋简体" w:hAnsi="方正仿宋简体" w:eastAsia="方正仿宋简体" w:cs="方正仿宋简体"/>
          <w:color w:val="auto"/>
          <w:sz w:val="32"/>
          <w:szCs w:val="32"/>
        </w:rPr>
        <w:t>各地食品安全状况，量化评估人民群众对食品安全状况的满意程度。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lang w:val="zh-TW" w:eastAsia="zh-CN" w:bidi="ar"/>
        </w:rPr>
      </w:pPr>
      <w:r>
        <w:rPr>
          <w:rFonts w:hint="eastAsia" w:ascii="方正黑体简体" w:hAnsi="方正黑体简体" w:eastAsia="方正黑体简体" w:cs="方正黑体简体"/>
          <w:color w:val="auto"/>
          <w:kern w:val="0"/>
          <w:sz w:val="32"/>
          <w:szCs w:val="32"/>
          <w:lang w:val="zh-TW" w:eastAsia="zh-CN" w:bidi="ar"/>
        </w:rPr>
        <w:t>三、调查对象及范围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zh-TW" w:eastAsia="zh-CN"/>
        </w:rPr>
      </w:pPr>
      <w:r>
        <w:rPr>
          <w:rFonts w:hint="eastAsia" w:ascii="方正仿宋简体" w:hAnsi="方正仿宋简体" w:eastAsia="方正仿宋简体" w:cs="方正仿宋简体"/>
          <w:color w:val="auto"/>
          <w:sz w:val="32"/>
          <w:szCs w:val="32"/>
          <w:lang w:val="zh-TW" w:eastAsia="zh-CN"/>
        </w:rPr>
        <w:t>全省</w:t>
      </w:r>
      <w:r>
        <w:rPr>
          <w:rFonts w:hint="eastAsia" w:ascii="方正仿宋简体" w:hAnsi="方正仿宋简体" w:eastAsia="方正仿宋简体" w:cs="方正仿宋简体"/>
          <w:color w:val="auto"/>
          <w:sz w:val="32"/>
          <w:szCs w:val="32"/>
          <w:lang w:val="en-US" w:eastAsia="zh-CN"/>
        </w:rPr>
        <w:t>129个县（市、区）年满</w:t>
      </w:r>
      <w:r>
        <w:rPr>
          <w:rFonts w:hint="eastAsia" w:ascii="方正仿宋简体" w:hAnsi="方正仿宋简体" w:eastAsia="方正仿宋简体" w:cs="方正仿宋简体"/>
          <w:color w:val="auto"/>
          <w:sz w:val="32"/>
          <w:szCs w:val="32"/>
          <w:lang w:val="zh-TW" w:eastAsia="zh-CN"/>
        </w:rPr>
        <w:t>15 周岁及以上的城乡常住人口（在所在城市连续居住 6 个月以上），同时包含城镇人口和农村人口。调查范围覆盖全省 16 个州市、129 个县（市、区），实现城乡区域全覆盖。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lang w:val="zh-TW" w:eastAsia="zh-CN" w:bidi="ar"/>
        </w:rPr>
      </w:pPr>
      <w:r>
        <w:rPr>
          <w:rFonts w:hint="eastAsia" w:ascii="方正黑体简体" w:hAnsi="方正黑体简体" w:eastAsia="方正黑体简体" w:cs="方正黑体简体"/>
          <w:color w:val="auto"/>
          <w:kern w:val="0"/>
          <w:sz w:val="32"/>
          <w:szCs w:val="32"/>
          <w:lang w:val="zh-TW" w:eastAsia="zh-CN" w:bidi="ar"/>
        </w:rPr>
        <w:t>四、调查方法</w:t>
      </w:r>
    </w:p>
    <w:bookmarkEnd w:id="1"/>
    <w:bookmarkEnd w:id="2"/>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入户访问方式进行调查。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五、组织方式</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color w:val="auto"/>
          <w:kern w:val="0"/>
          <w:sz w:val="32"/>
          <w:szCs w:val="32"/>
          <w:lang w:eastAsia="zh-CN"/>
        </w:rPr>
      </w:pPr>
      <w:r>
        <w:rPr>
          <w:rFonts w:hint="eastAsia" w:ascii="方正仿宋简体" w:hAnsi="方正仿宋简体" w:eastAsia="方正仿宋简体" w:cs="方正仿宋简体"/>
          <w:b w:val="0"/>
          <w:bCs/>
          <w:color w:val="auto"/>
          <w:kern w:val="0"/>
          <w:sz w:val="32"/>
          <w:szCs w:val="32"/>
          <w:lang w:val="en-US" w:eastAsia="zh-CN" w:bidi="ar"/>
        </w:rPr>
        <w:t>本调查实施通过政府招标采购向第三方购买服务，并由第三方机构设计</w:t>
      </w:r>
      <w:r>
        <w:rPr>
          <w:rFonts w:hint="eastAsia" w:ascii="方正仿宋简体" w:hAnsi="方正仿宋简体" w:eastAsia="方正仿宋简体" w:cs="方正仿宋简体"/>
          <w:b w:val="0"/>
          <w:bCs/>
          <w:color w:val="auto"/>
          <w:sz w:val="32"/>
          <w:szCs w:val="32"/>
        </w:rPr>
        <w:t>调查方案、</w:t>
      </w:r>
      <w:r>
        <w:rPr>
          <w:rFonts w:hint="eastAsia" w:ascii="方正仿宋简体" w:hAnsi="方正仿宋简体" w:eastAsia="方正仿宋简体" w:cs="方正仿宋简体"/>
          <w:b w:val="0"/>
          <w:bCs/>
          <w:color w:val="auto"/>
          <w:kern w:val="0"/>
          <w:sz w:val="32"/>
          <w:szCs w:val="32"/>
        </w:rPr>
        <w:t>编写调查手册</w:t>
      </w:r>
      <w:r>
        <w:rPr>
          <w:rFonts w:hint="eastAsia" w:ascii="方正仿宋简体" w:hAnsi="方正仿宋简体" w:eastAsia="方正仿宋简体" w:cs="方正仿宋简体"/>
          <w:b w:val="0"/>
          <w:bCs/>
          <w:color w:val="auto"/>
          <w:kern w:val="0"/>
          <w:sz w:val="32"/>
          <w:szCs w:val="32"/>
          <w:lang w:eastAsia="zh-CN"/>
        </w:rPr>
        <w:t>和</w:t>
      </w:r>
      <w:r>
        <w:rPr>
          <w:rFonts w:hint="eastAsia" w:ascii="方正仿宋简体" w:hAnsi="方正仿宋简体" w:eastAsia="方正仿宋简体" w:cs="方正仿宋简体"/>
          <w:b w:val="0"/>
          <w:bCs/>
          <w:color w:val="auto"/>
          <w:kern w:val="0"/>
          <w:sz w:val="32"/>
          <w:szCs w:val="32"/>
        </w:rPr>
        <w:t>设计调查表</w:t>
      </w:r>
      <w:r>
        <w:rPr>
          <w:rFonts w:hint="eastAsia" w:ascii="方正仿宋简体" w:hAnsi="方正仿宋简体" w:eastAsia="方正仿宋简体" w:cs="方正仿宋简体"/>
          <w:b w:val="0"/>
          <w:bCs/>
          <w:color w:val="auto"/>
          <w:kern w:val="0"/>
          <w:sz w:val="32"/>
          <w:szCs w:val="32"/>
          <w:lang w:eastAsia="zh-CN"/>
        </w:rPr>
        <w:t>，</w:t>
      </w:r>
      <w:r>
        <w:rPr>
          <w:rFonts w:hint="eastAsia" w:ascii="方正仿宋简体" w:hAnsi="方正仿宋简体" w:eastAsia="方正仿宋简体" w:cs="方正仿宋简体"/>
          <w:b w:val="0"/>
          <w:bCs/>
          <w:color w:val="auto"/>
          <w:kern w:val="0"/>
          <w:sz w:val="32"/>
          <w:szCs w:val="32"/>
        </w:rPr>
        <w:t>对全</w:t>
      </w:r>
      <w:r>
        <w:rPr>
          <w:rFonts w:hint="eastAsia" w:ascii="方正仿宋简体" w:hAnsi="方正仿宋简体" w:eastAsia="方正仿宋简体" w:cs="方正仿宋简体"/>
          <w:b w:val="0"/>
          <w:bCs/>
          <w:color w:val="auto"/>
          <w:kern w:val="0"/>
          <w:sz w:val="32"/>
          <w:szCs w:val="32"/>
          <w:lang w:eastAsia="zh-CN"/>
        </w:rPr>
        <w:t>省</w:t>
      </w:r>
      <w:r>
        <w:rPr>
          <w:rFonts w:hint="eastAsia" w:ascii="方正仿宋简体" w:hAnsi="方正仿宋简体" w:eastAsia="方正仿宋简体" w:cs="方正仿宋简体"/>
          <w:b w:val="0"/>
          <w:bCs/>
          <w:color w:val="auto"/>
          <w:kern w:val="0"/>
          <w:sz w:val="32"/>
          <w:szCs w:val="32"/>
          <w:lang w:val="en-US" w:eastAsia="zh-CN"/>
        </w:rPr>
        <w:t>16个州（市），129个</w:t>
      </w:r>
      <w:r>
        <w:rPr>
          <w:rFonts w:hint="eastAsia" w:ascii="方正仿宋简体" w:hAnsi="方正仿宋简体" w:eastAsia="方正仿宋简体" w:cs="方正仿宋简体"/>
          <w:b w:val="0"/>
          <w:bCs/>
          <w:color w:val="auto"/>
          <w:kern w:val="0"/>
          <w:sz w:val="32"/>
          <w:szCs w:val="32"/>
        </w:rPr>
        <w:t>县</w:t>
      </w:r>
      <w:r>
        <w:rPr>
          <w:rFonts w:hint="eastAsia" w:ascii="方正仿宋简体" w:hAnsi="方正仿宋简体" w:eastAsia="方正仿宋简体" w:cs="方正仿宋简体"/>
          <w:b w:val="0"/>
          <w:bCs/>
          <w:color w:val="auto"/>
          <w:kern w:val="0"/>
          <w:sz w:val="32"/>
          <w:szCs w:val="32"/>
          <w:lang w:eastAsia="zh-CN"/>
        </w:rPr>
        <w:t>（</w:t>
      </w:r>
      <w:r>
        <w:rPr>
          <w:rFonts w:hint="eastAsia" w:ascii="方正仿宋简体" w:hAnsi="方正仿宋简体" w:eastAsia="方正仿宋简体" w:cs="方正仿宋简体"/>
          <w:b w:val="0"/>
          <w:bCs/>
          <w:color w:val="auto"/>
          <w:kern w:val="0"/>
          <w:sz w:val="32"/>
          <w:szCs w:val="32"/>
        </w:rPr>
        <w:t>市</w:t>
      </w:r>
      <w:r>
        <w:rPr>
          <w:rFonts w:hint="eastAsia" w:ascii="方正仿宋简体" w:hAnsi="方正仿宋简体" w:eastAsia="方正仿宋简体" w:cs="方正仿宋简体"/>
          <w:b w:val="0"/>
          <w:bCs/>
          <w:color w:val="auto"/>
          <w:kern w:val="0"/>
          <w:sz w:val="32"/>
          <w:szCs w:val="32"/>
          <w:lang w:eastAsia="zh-CN"/>
        </w:rPr>
        <w:t>、区）的</w:t>
      </w:r>
      <w:r>
        <w:rPr>
          <w:rFonts w:hint="eastAsia" w:ascii="方正仿宋简体" w:hAnsi="方正仿宋简体" w:eastAsia="方正仿宋简体" w:cs="方正仿宋简体"/>
          <w:b w:val="0"/>
          <w:bCs/>
          <w:color w:val="auto"/>
          <w:kern w:val="0"/>
          <w:sz w:val="32"/>
          <w:szCs w:val="32"/>
        </w:rPr>
        <w:t>样本</w:t>
      </w:r>
      <w:r>
        <w:rPr>
          <w:rFonts w:hint="eastAsia" w:ascii="方正仿宋简体" w:hAnsi="方正仿宋简体" w:eastAsia="方正仿宋简体" w:cs="方正仿宋简体"/>
          <w:b w:val="0"/>
          <w:bCs/>
          <w:color w:val="auto"/>
          <w:kern w:val="0"/>
          <w:sz w:val="32"/>
          <w:szCs w:val="32"/>
          <w:lang w:eastAsia="zh-CN"/>
        </w:rPr>
        <w:t>量</w:t>
      </w:r>
      <w:r>
        <w:rPr>
          <w:rFonts w:hint="eastAsia" w:ascii="方正仿宋简体" w:hAnsi="方正仿宋简体" w:eastAsia="方正仿宋简体" w:cs="方正仿宋简体"/>
          <w:b w:val="0"/>
          <w:bCs/>
          <w:color w:val="auto"/>
          <w:sz w:val="32"/>
          <w:szCs w:val="32"/>
        </w:rPr>
        <w:t>开展调查</w:t>
      </w:r>
      <w:r>
        <w:rPr>
          <w:rFonts w:hint="eastAsia" w:ascii="方正仿宋简体" w:hAnsi="方正仿宋简体" w:eastAsia="方正仿宋简体" w:cs="方正仿宋简体"/>
          <w:b w:val="0"/>
          <w:bCs/>
          <w:color w:val="auto"/>
          <w:sz w:val="32"/>
          <w:szCs w:val="32"/>
          <w:lang w:eastAsia="zh-CN"/>
        </w:rPr>
        <w:t>，并对调查结果进行</w:t>
      </w:r>
      <w:r>
        <w:rPr>
          <w:rFonts w:hint="eastAsia" w:ascii="方正仿宋简体" w:hAnsi="方正仿宋简体" w:eastAsia="方正仿宋简体" w:cs="方正仿宋简体"/>
          <w:b w:val="0"/>
          <w:bCs/>
          <w:color w:val="auto"/>
          <w:sz w:val="32"/>
          <w:szCs w:val="32"/>
        </w:rPr>
        <w:t>整理、汇总、分析、编制</w:t>
      </w:r>
      <w:r>
        <w:rPr>
          <w:rFonts w:hint="eastAsia" w:ascii="方正仿宋简体" w:hAnsi="方正仿宋简体" w:eastAsia="方正仿宋简体" w:cs="方正仿宋简体"/>
          <w:b w:val="0"/>
          <w:bCs/>
          <w:color w:val="auto"/>
          <w:sz w:val="32"/>
          <w:szCs w:val="32"/>
          <w:lang w:eastAsia="zh-CN"/>
        </w:rPr>
        <w:t>城乡居民食品安全</w:t>
      </w:r>
      <w:r>
        <w:rPr>
          <w:rFonts w:hint="eastAsia" w:ascii="方正仿宋简体" w:hAnsi="方正仿宋简体" w:eastAsia="方正仿宋简体" w:cs="方正仿宋简体"/>
          <w:b w:val="0"/>
          <w:bCs/>
          <w:color w:val="auto"/>
          <w:sz w:val="32"/>
          <w:szCs w:val="32"/>
        </w:rPr>
        <w:t>满意指数</w:t>
      </w:r>
      <w:r>
        <w:rPr>
          <w:rFonts w:hint="eastAsia" w:ascii="方正仿宋简体" w:hAnsi="方正仿宋简体" w:eastAsia="方正仿宋简体" w:cs="方正仿宋简体"/>
          <w:b w:val="0"/>
          <w:bCs/>
          <w:color w:val="auto"/>
          <w:kern w:val="0"/>
          <w:sz w:val="32"/>
          <w:szCs w:val="32"/>
        </w:rPr>
        <w:t>和形成调查报告</w:t>
      </w:r>
      <w:r>
        <w:rPr>
          <w:rFonts w:hint="eastAsia" w:ascii="方正仿宋简体" w:hAnsi="方正仿宋简体" w:eastAsia="方正仿宋简体" w:cs="方正仿宋简体"/>
          <w:b w:val="0"/>
          <w:bCs/>
          <w:color w:val="auto"/>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调查汇总数据作为</w:t>
      </w:r>
      <w:bookmarkStart w:id="3" w:name="_GoBack"/>
      <w:bookmarkEnd w:id="3"/>
      <w:r>
        <w:rPr>
          <w:rFonts w:hint="eastAsia" w:ascii="方正仿宋简体" w:hAnsi="方正仿宋简体" w:eastAsia="方正仿宋简体" w:cs="方正仿宋简体"/>
          <w:b w:val="0"/>
          <w:bCs/>
          <w:color w:val="auto"/>
          <w:kern w:val="0"/>
          <w:sz w:val="32"/>
          <w:szCs w:val="32"/>
          <w:lang w:val="en-US" w:eastAsia="zh-CN" w:bidi="ar"/>
        </w:rPr>
        <w:t>全省食品安全年度评价考核</w:t>
      </w:r>
      <w:r>
        <w:rPr>
          <w:rFonts w:hint="eastAsia" w:ascii="方正仿宋简体" w:hAnsi="方正仿宋简体" w:eastAsia="方正仿宋简体" w:cs="方正仿宋简体"/>
          <w:b w:val="0"/>
          <w:bCs/>
          <w:color w:val="auto"/>
          <w:sz w:val="32"/>
          <w:szCs w:val="32"/>
          <w:lang w:val="zh-TW"/>
        </w:rPr>
        <w:t>工作的</w:t>
      </w:r>
      <w:r>
        <w:rPr>
          <w:rFonts w:hint="eastAsia" w:ascii="方正仿宋简体" w:hAnsi="方正仿宋简体" w:eastAsia="方正仿宋简体" w:cs="方正仿宋简体"/>
          <w:b w:val="0"/>
          <w:bCs/>
          <w:color w:val="auto"/>
          <w:sz w:val="32"/>
          <w:szCs w:val="32"/>
          <w:lang w:val="zh-TW" w:eastAsia="zh-CN"/>
        </w:rPr>
        <w:t>重要指标和</w:t>
      </w:r>
      <w:r>
        <w:rPr>
          <w:rFonts w:hint="eastAsia" w:ascii="方正仿宋简体" w:hAnsi="方正仿宋简体" w:eastAsia="方正仿宋简体" w:cs="方正仿宋简体"/>
          <w:b w:val="0"/>
          <w:bCs/>
          <w:color w:val="auto"/>
          <w:sz w:val="32"/>
          <w:szCs w:val="32"/>
          <w:lang w:val="zh-TW"/>
        </w:rPr>
        <w:t>加强中央、省级食品安全监管补助资金管理绩效考核的重要</w:t>
      </w:r>
      <w:r>
        <w:rPr>
          <w:rFonts w:hint="eastAsia" w:ascii="方正仿宋简体" w:hAnsi="方正仿宋简体" w:eastAsia="方正仿宋简体" w:cs="方正仿宋简体"/>
          <w:b w:val="0"/>
          <w:bCs/>
          <w:color w:val="auto"/>
          <w:sz w:val="32"/>
          <w:szCs w:val="32"/>
          <w:lang w:val="zh-TW" w:eastAsia="zh-CN"/>
        </w:rPr>
        <w:t>参考</w:t>
      </w:r>
      <w:r>
        <w:rPr>
          <w:rFonts w:hint="eastAsia" w:ascii="方正仿宋简体" w:hAnsi="方正仿宋简体" w:eastAsia="方正仿宋简体" w:cs="方正仿宋简体"/>
          <w:b w:val="0"/>
          <w:bCs/>
          <w:color w:val="auto"/>
          <w:kern w:val="0"/>
          <w:sz w:val="32"/>
          <w:szCs w:val="32"/>
          <w:lang w:bidi="ar"/>
        </w:rPr>
        <w:t>。</w:t>
      </w:r>
      <w:r>
        <w:rPr>
          <w:rFonts w:hint="eastAsia" w:ascii="方正仿宋简体" w:hAnsi="方正仿宋简体" w:eastAsia="方正仿宋简体" w:cs="方正仿宋简体"/>
          <w:b w:val="0"/>
          <w:bCs/>
          <w:color w:val="auto"/>
          <w:kern w:val="0"/>
          <w:sz w:val="32"/>
          <w:szCs w:val="32"/>
          <w:lang w:val="en-US" w:eastAsia="zh-CN" w:bidi="ar"/>
        </w:rPr>
        <w:t>同时在省市场监管局门户网站发布调查结果公报。</w:t>
      </w:r>
    </w:p>
    <w:p>
      <w:pPr>
        <w:keepNext w:val="0"/>
        <w:keepLines w:val="0"/>
        <w:pageBreakBefore w:val="0"/>
        <w:tabs>
          <w:tab w:val="left" w:pos="850"/>
          <w:tab w:val="center" w:pos="4153"/>
        </w:tabs>
        <w:kinsoku/>
        <w:overflowPunct/>
        <w:topLinePunct w:val="0"/>
        <w:bidi w:val="0"/>
        <w:spacing w:before="181" w:beforeLines="50" w:line="560" w:lineRule="exact"/>
        <w:jc w:val="both"/>
        <w:outlineLvl w:val="0"/>
        <w:rPr>
          <w:rFonts w:hint="eastAsia" w:ascii="方正仿宋简体" w:hAnsi="方正仿宋简体" w:eastAsia="方正仿宋简体" w:cs="方正仿宋简体"/>
          <w:b w:val="0"/>
          <w:bCs/>
          <w:color w:val="auto"/>
          <w:sz w:val="32"/>
          <w:szCs w:val="32"/>
          <w:highlight w:val="none"/>
        </w:rPr>
      </w:pPr>
    </w:p>
    <w:p>
      <w:pPr>
        <w:pStyle w:val="3"/>
        <w:keepNext w:val="0"/>
        <w:keepLines w:val="0"/>
        <w:pageBreakBefore w:val="0"/>
        <w:kinsoku/>
        <w:overflowPunct/>
        <w:topLinePunct w:val="0"/>
        <w:bidi w:val="0"/>
        <w:spacing w:line="560" w:lineRule="exact"/>
        <w:jc w:val="both"/>
        <w:rPr>
          <w:rFonts w:hint="eastAsia" w:ascii="方正仿宋简体" w:hAnsi="方正仿宋简体" w:eastAsia="方正仿宋简体" w:cs="方正仿宋简体"/>
          <w:color w:val="auto"/>
          <w:sz w:val="32"/>
          <w:szCs w:val="32"/>
          <w:lang w:val="en-US" w:eastAsia="zh-CN"/>
        </w:rPr>
      </w:pPr>
    </w:p>
    <w:p>
      <w:pPr>
        <w:pStyle w:val="3"/>
        <w:keepNext w:val="0"/>
        <w:keepLines w:val="0"/>
        <w:pageBreakBefore w:val="0"/>
        <w:kinsoku/>
        <w:overflowPunct/>
        <w:topLinePunct w:val="0"/>
        <w:bidi w:val="0"/>
        <w:spacing w:line="560" w:lineRule="exact"/>
        <w:jc w:val="both"/>
        <w:rPr>
          <w:rFonts w:hint="eastAsia" w:ascii="方正仿宋_GBK" w:hAnsi="方正仿宋_GBK" w:eastAsia="方正仿宋_GBK" w:cs="方正仿宋_GBK"/>
          <w:color w:val="auto"/>
          <w:sz w:val="32"/>
          <w:szCs w:val="32"/>
          <w:lang w:val="en-US" w:eastAsia="zh-CN"/>
        </w:rPr>
      </w:pPr>
    </w:p>
    <w:p>
      <w:pPr>
        <w:pageBreakBefore w:val="0"/>
        <w:tabs>
          <w:tab w:val="left" w:pos="850"/>
          <w:tab w:val="center" w:pos="4153"/>
        </w:tabs>
        <w:kinsoku/>
        <w:overflowPunct/>
        <w:topLinePunct w:val="0"/>
        <w:bidi w:val="0"/>
        <w:spacing w:before="181" w:beforeLines="50" w:line="360" w:lineRule="auto"/>
        <w:jc w:val="center"/>
        <w:outlineLvl w:val="0"/>
        <w:rPr>
          <w:rFonts w:hint="eastAsia" w:ascii="方正小标宋_GBK" w:hAnsi="方正小标宋_GBK" w:eastAsia="方正小标宋_GBK" w:cs="方正小标宋_GBK"/>
          <w:b w:val="0"/>
          <w:bCs/>
          <w:color w:val="auto"/>
          <w:sz w:val="32"/>
          <w:szCs w:val="32"/>
          <w:highlight w:val="none"/>
        </w:rPr>
      </w:pPr>
    </w:p>
    <w:bookmarkEnd w:id="0"/>
    <w:p>
      <w:pPr>
        <w:pStyle w:val="7"/>
        <w:rPr>
          <w:rFonts w:hint="eastAsia"/>
          <w:color w:val="auto"/>
          <w:lang w:val="en-US" w:eastAsia="zh-CN"/>
        </w:rPr>
      </w:pPr>
    </w:p>
    <w:sectPr>
      <w:footerReference r:id="rId3" w:type="default"/>
      <w:pgSz w:w="11850" w:h="16783"/>
      <w:pgMar w:top="2098" w:right="1474" w:bottom="1984" w:left="1587" w:header="851"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-58420</wp:posOffset>
              </wp:positionV>
              <wp:extent cx="1828800" cy="433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43307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noAutofit/>
                    </wps:bodyPr>
                  </wps:wsp>
                </a:graphicData>
              </a:graphic>
            </wp:anchor>
          </w:drawing>
        </mc:Choice>
        <mc:Fallback>
          <w:pict>
            <v:shape id="_x0000_s1026" o:spid="_x0000_s1026" o:spt="202" type="#_x0000_t202" style="position:absolute;left:0pt;margin-top:-4.6pt;height:34.1pt;width:144pt;mso-position-horizontal:center;mso-position-horizontal-relative:margin;mso-wrap-style:none;z-index:251658240;mso-width-relative:page;mso-height-relative:page;" filled="f" stroked="f" coordsize="21600,21600" o:gfxdata="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BaMtQAAAAGAQAADwAAAAAAAAABACAAAAAiAAAAZHJzL2Rvd25yZXYueG1sUEsBAhQAFAAA&#10;AAgAh07iQIrS4kK6AQAAUwMAAA4AAAAAAAAAAQAgAAAAIwEAAGRycy9lMm9Eb2MueG1sUEsFBgAA&#10;AAAGAAYAWQEAAE8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E5419"/>
    <w:rsid w:val="000504F5"/>
    <w:rsid w:val="014B4DF6"/>
    <w:rsid w:val="02CF79F4"/>
    <w:rsid w:val="0474265B"/>
    <w:rsid w:val="05E70CB4"/>
    <w:rsid w:val="0D84047A"/>
    <w:rsid w:val="0F0A4884"/>
    <w:rsid w:val="0F6B7277"/>
    <w:rsid w:val="11B9023D"/>
    <w:rsid w:val="11E820F7"/>
    <w:rsid w:val="128D2B0D"/>
    <w:rsid w:val="145825E3"/>
    <w:rsid w:val="168E5419"/>
    <w:rsid w:val="19090489"/>
    <w:rsid w:val="1A68259B"/>
    <w:rsid w:val="1EE82E1C"/>
    <w:rsid w:val="20E80A35"/>
    <w:rsid w:val="219C2D85"/>
    <w:rsid w:val="238632FA"/>
    <w:rsid w:val="24DD7F92"/>
    <w:rsid w:val="252302DB"/>
    <w:rsid w:val="262369CE"/>
    <w:rsid w:val="28766558"/>
    <w:rsid w:val="29245A09"/>
    <w:rsid w:val="29AC10EA"/>
    <w:rsid w:val="29BA0C91"/>
    <w:rsid w:val="2AF42C69"/>
    <w:rsid w:val="2C1626DB"/>
    <w:rsid w:val="2F5015C8"/>
    <w:rsid w:val="2FEB12EE"/>
    <w:rsid w:val="306654D5"/>
    <w:rsid w:val="319D6139"/>
    <w:rsid w:val="3414546F"/>
    <w:rsid w:val="34A213A1"/>
    <w:rsid w:val="36047C84"/>
    <w:rsid w:val="380213B6"/>
    <w:rsid w:val="395E0670"/>
    <w:rsid w:val="3A883DAA"/>
    <w:rsid w:val="3B234A8D"/>
    <w:rsid w:val="3C593540"/>
    <w:rsid w:val="43D67C5B"/>
    <w:rsid w:val="48306B44"/>
    <w:rsid w:val="48C33162"/>
    <w:rsid w:val="4B462A6C"/>
    <w:rsid w:val="4CD04C4F"/>
    <w:rsid w:val="4E021C64"/>
    <w:rsid w:val="4F367449"/>
    <w:rsid w:val="51013606"/>
    <w:rsid w:val="525708B4"/>
    <w:rsid w:val="52EB1442"/>
    <w:rsid w:val="553A0B64"/>
    <w:rsid w:val="56A86F20"/>
    <w:rsid w:val="57B82C41"/>
    <w:rsid w:val="57E56F9B"/>
    <w:rsid w:val="59155DB4"/>
    <w:rsid w:val="59C66D27"/>
    <w:rsid w:val="60E950F9"/>
    <w:rsid w:val="64D13C34"/>
    <w:rsid w:val="65334117"/>
    <w:rsid w:val="66C65596"/>
    <w:rsid w:val="70581FB9"/>
    <w:rsid w:val="71982C4A"/>
    <w:rsid w:val="726362A9"/>
    <w:rsid w:val="744835B4"/>
    <w:rsid w:val="74AF6A23"/>
    <w:rsid w:val="75E644B5"/>
    <w:rsid w:val="76685A21"/>
    <w:rsid w:val="775630FC"/>
    <w:rsid w:val="77CC4BCA"/>
    <w:rsid w:val="783643DD"/>
    <w:rsid w:val="79366AD9"/>
    <w:rsid w:val="79F83F6E"/>
    <w:rsid w:val="7AF2591E"/>
    <w:rsid w:val="7D5C1602"/>
    <w:rsid w:val="7E633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adjustRightInd w:val="0"/>
      <w:snapToGrid w:val="0"/>
      <w:spacing w:line="360" w:lineRule="auto"/>
      <w:jc w:val="center"/>
      <w:outlineLvl w:val="0"/>
    </w:pPr>
    <w:rPr>
      <w:rFonts w:ascii="黑体" w:hAnsi="黑体" w:eastAsia="黑体"/>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libri Light" w:hAnsi="Calibri Light"/>
      <w:b/>
      <w:bCs/>
      <w:sz w:val="32"/>
      <w:szCs w:val="32"/>
      <w:lang w:val="zh-CN"/>
    </w:rPr>
  </w:style>
  <w:style w:type="paragraph" w:styleId="6">
    <w:name w:val="heading 3"/>
    <w:basedOn w:val="1"/>
    <w:next w:val="1"/>
    <w:unhideWhenUsed/>
    <w:qFormat/>
    <w:uiPriority w:val="9"/>
    <w:pPr>
      <w:keepNext/>
      <w:keepLines/>
      <w:adjustRightInd w:val="0"/>
      <w:snapToGrid w:val="0"/>
      <w:spacing w:before="20" w:after="20" w:line="360" w:lineRule="auto"/>
      <w:jc w:val="both"/>
      <w:outlineLvl w:val="2"/>
    </w:pPr>
    <w:rPr>
      <w:rFonts w:ascii="宋体" w:hAnsi="宋体" w:eastAsia="宋体"/>
      <w:b/>
      <w:bCs/>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7">
    <w:name w:val="Body Text"/>
    <w:basedOn w:val="1"/>
    <w:next w:val="8"/>
    <w:qFormat/>
    <w:uiPriority w:val="0"/>
    <w:pPr>
      <w:jc w:val="center"/>
    </w:pPr>
    <w:rPr>
      <w:rFonts w:eastAsia="宋体"/>
      <w:b/>
      <w:bCs/>
      <w:sz w:val="72"/>
    </w:rPr>
  </w:style>
  <w:style w:type="paragraph" w:styleId="8">
    <w:name w:val="toc 5"/>
    <w:basedOn w:val="1"/>
    <w:next w:val="1"/>
    <w:qFormat/>
    <w:uiPriority w:val="0"/>
    <w:pPr>
      <w:ind w:left="1680"/>
    </w:pPr>
    <w:rPr>
      <w:rFonts w:ascii="Calibri" w:hAnsi="Calibri"/>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BodyText"/>
    <w:basedOn w:val="1"/>
    <w:qFormat/>
    <w:uiPriority w:val="0"/>
    <w:pPr>
      <w:spacing w:line="240" w:lineRule="auto"/>
      <w:jc w:val="center"/>
    </w:pPr>
    <w:rPr>
      <w:kern w:val="2"/>
      <w:sz w:val="48"/>
      <w:szCs w:val="24"/>
      <w:lang w:val="en-US" w:eastAsia="zh-CN" w:bidi="ar-SA"/>
    </w:rPr>
  </w:style>
  <w:style w:type="character" w:customStyle="1" w:styleId="18">
    <w:name w:val="NormalCharacter"/>
    <w:link w:val="19"/>
    <w:qFormat/>
    <w:uiPriority w:val="0"/>
  </w:style>
  <w:style w:type="paragraph" w:customStyle="1" w:styleId="19">
    <w:name w:val="UserStyle_4"/>
    <w:basedOn w:val="1"/>
    <w:link w:val="18"/>
    <w:qFormat/>
    <w:uiPriority w:val="0"/>
    <w:pPr>
      <w:spacing w:line="240" w:lineRule="auto"/>
      <w:jc w:val="both"/>
    </w:pPr>
  </w:style>
  <w:style w:type="paragraph" w:customStyle="1" w:styleId="20">
    <w:name w:val="HtmlNormal"/>
    <w:basedOn w:val="1"/>
    <w:qFormat/>
    <w:uiPriority w:val="0"/>
    <w:pPr>
      <w:spacing w:before="100" w:beforeAutospacing="1" w:after="100" w:afterAutospacing="1" w:line="240" w:lineRule="auto"/>
      <w:ind w:left="0" w:right="0"/>
      <w:jc w:val="left"/>
    </w:pPr>
    <w:rPr>
      <w:kern w:val="0"/>
      <w:sz w:val="24"/>
      <w:szCs w:val="24"/>
      <w:lang w:val="en-US" w:eastAsia="zh-CN"/>
    </w:rPr>
  </w:style>
  <w:style w:type="paragraph" w:customStyle="1" w:styleId="21">
    <w:name w:val="_Style 4"/>
    <w:qFormat/>
    <w:uiPriority w:val="1"/>
    <w:pPr>
      <w:jc w:val="both"/>
    </w:pPr>
    <w:rPr>
      <w:rFonts w:asciiTheme="minorHAnsi" w:hAnsiTheme="minorHAnsi" w:eastAsiaTheme="minorEastAsia" w:cstheme="minorBidi"/>
      <w:sz w:val="22"/>
      <w:szCs w:val="22"/>
      <w:lang w:val="en-US" w:eastAsia="zh-CN" w:bidi="ar-SA"/>
    </w:rPr>
  </w:style>
  <w:style w:type="paragraph" w:customStyle="1" w:styleId="2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23">
    <w:name w:val="No Spacing"/>
    <w:qFormat/>
    <w:uiPriority w:val="1"/>
    <w:pPr>
      <w:jc w:val="both"/>
    </w:pPr>
    <w:rPr>
      <w:rFonts w:asciiTheme="minorHAnsi" w:hAnsiTheme="minorHAnsi" w:eastAsiaTheme="minorEastAsia" w:cstheme="minorBidi"/>
      <w:sz w:val="22"/>
      <w:szCs w:val="22"/>
      <w:lang w:val="en-US" w:eastAsia="zh-CN" w:bidi="ar-SA"/>
    </w:rPr>
  </w:style>
  <w:style w:type="character" w:customStyle="1" w:styleId="24">
    <w:name w:val="无"/>
    <w:qFormat/>
    <w:uiPriority w:val="0"/>
  </w:style>
  <w:style w:type="paragraph" w:customStyle="1" w:styleId="25">
    <w:name w:val="Table Paragraph"/>
    <w:basedOn w:val="1"/>
    <w:qFormat/>
    <w:uiPriority w:val="1"/>
    <w:pPr>
      <w:spacing w:before="21"/>
      <w:jc w:val="center"/>
    </w:pPr>
    <w:rPr>
      <w:rFonts w:ascii="宋体" w:hAnsi="宋体" w:eastAsia="宋体" w:cs="宋体"/>
      <w:lang w:val="zh-CN" w:eastAsia="zh-CN" w:bidi="zh-CN"/>
    </w:rPr>
  </w:style>
  <w:style w:type="paragraph" w:customStyle="1" w:styleId="26">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云南省食品药品监督管理局</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2019-09-09T04:54:00Z</dcterms:created>
  <dc:creator>江洪【食品安全协调处】</dc:creator>
  <cp:lastModifiedBy>Summer</cp:lastModifiedBy>
  <cp:lastPrinted>2021-08-20T03:04:00Z</cp:lastPrinted>
  <dcterms:modified xsi:type="dcterms:W3CDTF">2021-08-25T06:39:50Z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